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29723DD" w14:textId="77777777" w:rsidR="000F2D25" w:rsidRDefault="00D5453B">
      <w:r>
        <w:rPr>
          <w:b/>
          <w:bCs/>
          <w:color w:val="0D1B2A"/>
          <w:sz w:val="32"/>
          <w:szCs w:val="32"/>
        </w:rPr>
        <w:t>Argumentarium Sportkoordination</w:t>
      </w:r>
    </w:p>
    <w:p w14:paraId="0B47C65B" w14:textId="77777777" w:rsidR="000F2D25" w:rsidRDefault="00D5453B">
      <w:r>
        <w:rPr>
          <w:color w:val="6B7683"/>
          <w:sz w:val="18"/>
          <w:szCs w:val="18"/>
        </w:rPr>
        <w:t>Zwölf häufige Einwände und wie man ihnen begegnet</w:t>
      </w:r>
    </w:p>
    <w:p w14:paraId="5B914834" w14:textId="77777777" w:rsidR="000F2D25" w:rsidRDefault="000F2D25">
      <w:pPr>
        <w:pBdr>
          <w:bottom w:val="single" w:sz="12" w:space="0" w:color="3FE0B8"/>
        </w:pBdr>
        <w:spacing w:before="60" w:after="220"/>
      </w:pPr>
    </w:p>
    <w:p w14:paraId="6F8BE71A" w14:textId="77777777" w:rsidR="000F2D25" w:rsidRDefault="00D5453B">
      <w:pPr>
        <w:spacing w:after="120"/>
      </w:pPr>
      <w:r>
        <w:t>Dieses Argumentarium sammelt Einwände, die beim Aufbau einer Sportkoordination regelmässig kommen, und schlägt Antworten vor. Es ist als Vorbereitung auf Gespräche gedacht: in der Kommission, im Gemeinderat, am Rand einer Sitzung.</w:t>
      </w:r>
    </w:p>
    <w:tbl>
      <w:tblPr>
        <w:tblW w:w="920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9200"/>
      </w:tblGrid>
      <w:tr w:rsidR="000F2D25" w14:paraId="51C2DB9D" w14:textId="77777777">
        <w:tblPrEx>
          <w:tblCellMar>
            <w:top w:w="0" w:type="dxa"/>
            <w:bottom w:w="0" w:type="dxa"/>
          </w:tblCellMar>
        </w:tblPrEx>
        <w:tc>
          <w:tcPr>
            <w:tcW w:w="9200" w:type="dxa"/>
            <w:tcBorders>
              <w:top w:val="single" w:sz="4" w:space="0" w:color="D5DAE0"/>
              <w:left w:val="single" w:sz="18" w:space="0" w:color="3FE0B8"/>
              <w:bottom w:val="single" w:sz="4" w:space="0" w:color="D5DAE0"/>
              <w:right w:val="single" w:sz="4" w:space="0" w:color="D5DAE0"/>
            </w:tcBorders>
            <w:shd w:val="clear" w:color="auto" w:fill="F7F9FA"/>
            <w:tcMar>
              <w:top w:w="120" w:type="dxa"/>
              <w:left w:w="160" w:type="dxa"/>
              <w:bottom w:w="120" w:type="dxa"/>
              <w:right w:w="140" w:type="dxa"/>
            </w:tcMar>
          </w:tcPr>
          <w:p w14:paraId="652DC615" w14:textId="77777777" w:rsidR="000F2D25" w:rsidRDefault="00D5453B">
            <w:pPr>
              <w:spacing w:after="60"/>
            </w:pPr>
            <w:r>
              <w:rPr>
                <w:b/>
                <w:bCs/>
                <w:color w:val="0D1B2A"/>
              </w:rPr>
              <w:t>Wie dieses Dokument zu verwenden ist</w:t>
            </w:r>
          </w:p>
          <w:p w14:paraId="2814F45D" w14:textId="77777777" w:rsidR="000F2D25" w:rsidRDefault="00D5453B">
            <w:pPr>
              <w:spacing w:after="40"/>
            </w:pPr>
            <w:r>
              <w:rPr>
                <w:sz w:val="18"/>
                <w:szCs w:val="18"/>
              </w:rPr>
              <w:t>Die Antworten sind Vorschläge, keine Formulierungen zum Vorlesen. In eigenen Worten wirken sie besser.</w:t>
            </w:r>
          </w:p>
          <w:p w14:paraId="46EF5A5E" w14:textId="77777777" w:rsidR="000F2D25" w:rsidRDefault="00D5453B">
            <w:pPr>
              <w:spacing w:after="40"/>
            </w:pPr>
            <w:r>
              <w:rPr>
                <w:sz w:val="18"/>
                <w:szCs w:val="18"/>
              </w:rPr>
              <w:t>Zu jedem Einwand steht, was vermutlich dahintersteckt. Diese Ebene ist oft wichtiger als das Sachargument.</w:t>
            </w:r>
          </w:p>
          <w:p w14:paraId="676AA608" w14:textId="77777777" w:rsidR="000F2D25" w:rsidRDefault="00D5453B">
            <w:pPr>
              <w:spacing w:after="40"/>
            </w:pPr>
            <w:r>
              <w:rPr>
                <w:sz w:val="18"/>
                <w:szCs w:val="18"/>
              </w:rPr>
              <w:t>Mehrere Einwände sind berechtigt. Wer sie wegargumentiert, statt sie anzuerkennen, verliert Vertrauen.</w:t>
            </w:r>
          </w:p>
          <w:p w14:paraId="0170719A" w14:textId="77777777" w:rsidR="000F2D25" w:rsidRDefault="00D5453B">
            <w:pPr>
              <w:spacing w:after="40"/>
            </w:pPr>
            <w:r>
              <w:rPr>
                <w:sz w:val="18"/>
                <w:szCs w:val="18"/>
              </w:rPr>
              <w:t>Wo «Vorsicht» steht, geht es um Aussagen, die sich später gegen einen wenden können.</w:t>
            </w:r>
          </w:p>
        </w:tc>
      </w:tr>
    </w:tbl>
    <w:p w14:paraId="3B6FF87E" w14:textId="77777777" w:rsidR="000F2D25" w:rsidRDefault="00D5453B">
      <w:pPr>
        <w:pBdr>
          <w:bottom w:val="single" w:sz="8" w:space="0" w:color="3FE0B8"/>
        </w:pBdr>
        <w:spacing w:before="320" w:after="120"/>
      </w:pPr>
      <w:r>
        <w:rPr>
          <w:b/>
          <w:bCs/>
          <w:color w:val="0D1B2A"/>
          <w:sz w:val="22"/>
          <w:szCs w:val="22"/>
        </w:rPr>
        <w:t>Die zwölf häufigsten Einwände</w:t>
      </w:r>
    </w:p>
    <w:p w14:paraId="519CD2A3" w14:textId="2DC6D673" w:rsidR="000F2D25" w:rsidRDefault="00D5453B">
      <w:pPr>
        <w:spacing w:before="220" w:after="50"/>
      </w:pPr>
      <w:r>
        <w:rPr>
          <w:b/>
          <w:bCs/>
          <w:color w:val="0D1B2A"/>
        </w:rPr>
        <w:t xml:space="preserve">1. </w:t>
      </w:r>
      <w:r>
        <w:rPr>
          <w:b/>
          <w:bCs/>
          <w:color w:val="0D1B2A"/>
        </w:rPr>
        <w:t>«Das kostet nur Geld, ohne dass etwas Sichtbares entsteht.»</w:t>
      </w:r>
    </w:p>
    <w:p w14:paraId="0849A164" w14:textId="77777777" w:rsidR="000F2D25" w:rsidRDefault="00D5453B">
      <w:pPr>
        <w:spacing w:after="80"/>
      </w:pPr>
      <w:r>
        <w:rPr>
          <w:i/>
          <w:iCs/>
          <w:sz w:val="18"/>
          <w:szCs w:val="18"/>
        </w:rPr>
        <w:t>Was dahintersteckt: Die Sorge, eine Struktur zu finanzieren statt eine Leistung. Bei knappen Budgets ist das legitim.</w:t>
      </w:r>
    </w:p>
    <w:p w14:paraId="0BC13B91" w14:textId="2AE8D89B" w:rsidR="000F2D25" w:rsidRDefault="00D5453B">
      <w:pPr>
        <w:spacing w:after="120"/>
      </w:pPr>
      <w:r>
        <w:t xml:space="preserve">Koordination erzeugt tatsächlich kein Gebäude. Sie wirkt an einer anderen Stelle: bessere Auslastung bestehender Anlagen, weniger Doppelspurigkeiten, fundiertere Investitionsentscheide. Der grösste Kostenblock im Sport ist die Infrastruktur, und dort werden Fehlentscheide teuer. Ein Vorschlag: Die Stelle für </w:t>
      </w:r>
      <w:r w:rsidR="005B63E0">
        <w:t>3-4</w:t>
      </w:r>
      <w:r>
        <w:t xml:space="preserve"> Jahre </w:t>
      </w:r>
      <w:r w:rsidR="005B63E0">
        <w:t xml:space="preserve">zuerst </w:t>
      </w:r>
      <w:r>
        <w:t>befristen und an überprüfbare Ziele binden.</w:t>
      </w:r>
    </w:p>
    <w:p w14:paraId="0F16F309" w14:textId="228D9CD8" w:rsidR="000F2D25" w:rsidRDefault="00D5453B">
      <w:pPr>
        <w:spacing w:after="100"/>
      </w:pPr>
      <w:r>
        <w:rPr>
          <w:i/>
          <w:iCs/>
          <w:sz w:val="18"/>
          <w:szCs w:val="18"/>
        </w:rPr>
        <w:t xml:space="preserve">Vorsicht: Keine Einsparungen versprechen, die sich nicht belegen lassen. Der Nutzen zeigt sich </w:t>
      </w:r>
      <w:r w:rsidR="005B63E0">
        <w:rPr>
          <w:i/>
          <w:iCs/>
          <w:sz w:val="18"/>
          <w:szCs w:val="18"/>
        </w:rPr>
        <w:t>mittel- bis langfristig</w:t>
      </w:r>
      <w:r>
        <w:rPr>
          <w:i/>
          <w:iCs/>
          <w:sz w:val="18"/>
          <w:szCs w:val="18"/>
        </w:rPr>
        <w:t>.</w:t>
      </w:r>
    </w:p>
    <w:p w14:paraId="7E764D13" w14:textId="401DB44C" w:rsidR="000F2D25" w:rsidRDefault="00D5453B">
      <w:pPr>
        <w:spacing w:before="220" w:after="50"/>
      </w:pPr>
      <w:r>
        <w:rPr>
          <w:b/>
          <w:bCs/>
          <w:color w:val="0D1B2A"/>
        </w:rPr>
        <w:t xml:space="preserve">2. </w:t>
      </w:r>
      <w:r>
        <w:rPr>
          <w:b/>
          <w:bCs/>
          <w:color w:val="0D1B2A"/>
        </w:rPr>
        <w:t>«Dafür sind die Vereine selbst zuständig.»</w:t>
      </w:r>
    </w:p>
    <w:p w14:paraId="1B77C392" w14:textId="77777777" w:rsidR="000F2D25" w:rsidRDefault="00D5453B">
      <w:pPr>
        <w:spacing w:after="80"/>
      </w:pPr>
      <w:r>
        <w:rPr>
          <w:i/>
          <w:iCs/>
          <w:sz w:val="18"/>
          <w:szCs w:val="18"/>
        </w:rPr>
        <w:t>Was dahintersteckt: Ein Rollenverständnis, das über Jahrzehnte funktioniert hat, und die Sorge vor Bevormundung.</w:t>
      </w:r>
    </w:p>
    <w:p w14:paraId="5C9680A5" w14:textId="77777777" w:rsidR="000F2D25" w:rsidRDefault="00D5453B">
      <w:pPr>
        <w:spacing w:after="120"/>
      </w:pPr>
      <w:r>
        <w:t>Vereine bleiben zuständig für ihren Betrieb, und das soll so bleiben. Koordination setzt dort an, wo ein einzelner Verein nichts ausrichten kann: Hallenbelegung über mehrere Nutzergruppen, Infrastrukturplanung, Zugang zu Fördermitteln, Angebote für Gruppen, die kein Verein erreicht. Es geht um das, was zwischen den Vereinen liegt, nicht um das, was in ihnen passiert.</w:t>
      </w:r>
    </w:p>
    <w:p w14:paraId="14D21428" w14:textId="4E9A9C21" w:rsidR="000F2D25" w:rsidRDefault="00D5453B">
      <w:pPr>
        <w:spacing w:before="220" w:after="50"/>
      </w:pPr>
      <w:r>
        <w:rPr>
          <w:b/>
          <w:bCs/>
          <w:color w:val="0D1B2A"/>
        </w:rPr>
        <w:t xml:space="preserve">3. </w:t>
      </w:r>
      <w:r>
        <w:rPr>
          <w:b/>
          <w:bCs/>
          <w:color w:val="0D1B2A"/>
        </w:rPr>
        <w:t>«Wir haben doch schon eine Sportkommission.»</w:t>
      </w:r>
    </w:p>
    <w:p w14:paraId="5A5C10AE" w14:textId="77777777" w:rsidR="000F2D25" w:rsidRDefault="00D5453B">
      <w:pPr>
        <w:spacing w:after="80"/>
      </w:pPr>
      <w:r>
        <w:rPr>
          <w:i/>
          <w:iCs/>
          <w:sz w:val="18"/>
          <w:szCs w:val="18"/>
        </w:rPr>
        <w:t>Was dahintersteckt: Berechtigter Hinweis auf bestehende Strukturen und die Sorge vor Doppelspurigkeit.</w:t>
      </w:r>
    </w:p>
    <w:p w14:paraId="18F8CE5C" w14:textId="77777777" w:rsidR="000F2D25" w:rsidRDefault="00D5453B">
      <w:pPr>
        <w:spacing w:after="120"/>
      </w:pPr>
      <w:r>
        <w:t>Eine Kommission entscheidet und berät, meist im Milizsystem und wenige Male pro Jahr. Koordination ist die operative Arbeit dazwischen: Grundlagen aufbereiten, Kontakte halten, Projekte begleiten. Die Kommission wird dadurch nicht ersetzt, sondern besser bedient. In vielen Gemeinden ist es umgekehrt die Kommission, die eine Koordinationsstelle fordert, weil ihr die Vorbereitung fehlt.</w:t>
      </w:r>
    </w:p>
    <w:p w14:paraId="1C116F86" w14:textId="1C6473A2" w:rsidR="000F2D25" w:rsidRDefault="00D5453B">
      <w:pPr>
        <w:spacing w:before="220" w:after="50"/>
      </w:pPr>
      <w:r>
        <w:rPr>
          <w:b/>
          <w:bCs/>
          <w:color w:val="0D1B2A"/>
        </w:rPr>
        <w:t xml:space="preserve">4. </w:t>
      </w:r>
      <w:r>
        <w:rPr>
          <w:b/>
          <w:bCs/>
          <w:color w:val="0D1B2A"/>
        </w:rPr>
        <w:t>«Sport ist eine freiwillige Aufgabe, wir haben Pflichtaufgaben zu erfüllen.»</w:t>
      </w:r>
    </w:p>
    <w:p w14:paraId="63F021D2" w14:textId="77777777" w:rsidR="000F2D25" w:rsidRDefault="00D5453B">
      <w:pPr>
        <w:spacing w:after="80"/>
      </w:pPr>
      <w:r>
        <w:rPr>
          <w:i/>
          <w:iCs/>
          <w:sz w:val="18"/>
          <w:szCs w:val="18"/>
        </w:rPr>
        <w:t>Was dahintersteckt: Rechtlich meist zutreffend und deshalb der härteste Einwand.</w:t>
      </w:r>
    </w:p>
    <w:p w14:paraId="0E4E73B2" w14:textId="0D3C6E20" w:rsidR="000F2D25" w:rsidRDefault="00D5453B">
      <w:pPr>
        <w:spacing w:after="120"/>
      </w:pPr>
      <w:r>
        <w:t xml:space="preserve">Das stimmt, und trotzdem ist die Gemeinde bereits investiert: Sie besitzt Anlagen, unterhält sie, vergibt Beiträge und stellt Räume für den Schulsport. Die Frage ist also nicht, ob Sport eine Aufgabe ist, sondern ob das bestehende Engagement gesteuert wird oder nicht. </w:t>
      </w:r>
      <w:r w:rsidR="005B63E0">
        <w:t>Zudem: Standortförderung und ein attraktiver Lebens- und Arbeitsraum wird immer wie wichtiger – auch die Soft-Faktoren wie Sport- und Bewegungsförderung zählen entscheidend dazu.</w:t>
      </w:r>
    </w:p>
    <w:p w14:paraId="72B9378C" w14:textId="1B338C09" w:rsidR="000F2D25" w:rsidRDefault="00D5453B">
      <w:pPr>
        <w:spacing w:after="100"/>
      </w:pPr>
      <w:r>
        <w:rPr>
          <w:i/>
          <w:iCs/>
          <w:sz w:val="18"/>
          <w:szCs w:val="18"/>
        </w:rPr>
        <w:t>Vorsicht: Nicht behaupten, Sportförderung sei eine Pflichtaufgabe.</w:t>
      </w:r>
    </w:p>
    <w:p w14:paraId="4694E56D" w14:textId="238FFD21" w:rsidR="000F2D25" w:rsidRDefault="00D5453B">
      <w:pPr>
        <w:spacing w:before="220" w:after="50"/>
      </w:pPr>
      <w:r>
        <w:rPr>
          <w:b/>
          <w:bCs/>
          <w:color w:val="0D1B2A"/>
        </w:rPr>
        <w:t>5.</w:t>
      </w:r>
      <w:r>
        <w:rPr>
          <w:b/>
          <w:bCs/>
          <w:color w:val="0D1B2A"/>
        </w:rPr>
        <w:t xml:space="preserve"> «Wir sind zu klein für so etwas.»</w:t>
      </w:r>
    </w:p>
    <w:p w14:paraId="59327245" w14:textId="77777777" w:rsidR="000F2D25" w:rsidRDefault="00D5453B">
      <w:pPr>
        <w:spacing w:after="80"/>
      </w:pPr>
      <w:r>
        <w:rPr>
          <w:i/>
          <w:iCs/>
          <w:sz w:val="18"/>
          <w:szCs w:val="18"/>
        </w:rPr>
        <w:t>Was dahintersteckt: Realistische Einschätzung der eigenen Kapazität, oft verbunden mit der Erfahrung, dass grosse Konzepte in kleinen Gemeinden versanden.</w:t>
      </w:r>
    </w:p>
    <w:p w14:paraId="7F569B94" w14:textId="7F7A65E5" w:rsidR="000F2D25" w:rsidRDefault="00D5453B">
      <w:pPr>
        <w:spacing w:after="120"/>
      </w:pPr>
      <w:r>
        <w:t>Genau deshalb ist die interkommunale Lösung entstanden. Eine Gemeinde mit 3'000 Einwohnerinnen und Einwohnern braucht keine eigene Fachstelle</w:t>
      </w:r>
      <w:r w:rsidR="005B63E0">
        <w:t xml:space="preserve"> mit hohen Stellenprozenten</w:t>
      </w:r>
      <w:r>
        <w:t>, aber sie profitiert von einer geteilten</w:t>
      </w:r>
      <w:r w:rsidR="005B63E0">
        <w:t xml:space="preserve"> Stelle oder niedrigen Prozenten</w:t>
      </w:r>
      <w:r>
        <w:t>. Die Alternative zu gemeinsamer Koordination ist meist nicht keine Koordination, sondern unbezahlte Mehrarbeit bei der Gemeindeschreiberei oder beim Hausdienst.</w:t>
      </w:r>
    </w:p>
    <w:p w14:paraId="389B66CA" w14:textId="15A3F9A1" w:rsidR="000F2D25" w:rsidRDefault="00D5453B">
      <w:pPr>
        <w:spacing w:before="220" w:after="50"/>
      </w:pPr>
      <w:r>
        <w:rPr>
          <w:b/>
          <w:bCs/>
          <w:color w:val="0D1B2A"/>
        </w:rPr>
        <w:t xml:space="preserve">6. </w:t>
      </w:r>
      <w:r>
        <w:rPr>
          <w:b/>
          <w:bCs/>
          <w:color w:val="0D1B2A"/>
        </w:rPr>
        <w:t>«Dann verlieren wir die Hoheit über unsere Anlagen.»</w:t>
      </w:r>
    </w:p>
    <w:p w14:paraId="3CC32E1F" w14:textId="77777777" w:rsidR="000F2D25" w:rsidRDefault="00D5453B">
      <w:pPr>
        <w:spacing w:after="80"/>
      </w:pPr>
      <w:r>
        <w:rPr>
          <w:i/>
          <w:iCs/>
          <w:sz w:val="18"/>
          <w:szCs w:val="18"/>
        </w:rPr>
        <w:t>Was dahintersteckt: Die zentrale Sorge bei jeder überkommunalen Zusammenarbeit: Kontrollverlust über eigenes Eigentum.</w:t>
      </w:r>
    </w:p>
    <w:p w14:paraId="26CD33D4" w14:textId="459159B5" w:rsidR="000F2D25" w:rsidRDefault="00D5453B">
      <w:pPr>
        <w:spacing w:after="120"/>
      </w:pPr>
      <w:r>
        <w:lastRenderedPageBreak/>
        <w:t>Die Zuständigkeit für Bau, Betrieb und Vergabe bleibt bei der Eigentümergemeinde. Koordination hat keine Weisungsbefugnis, sie führt nicht in der Linie. Was sie liefert, sind Grundlagen und Absprachen. Wenn das nicht ausdrücklich im Mandat steht, gehört es hineingeschrieben.</w:t>
      </w:r>
    </w:p>
    <w:p w14:paraId="294A1A51" w14:textId="77777777" w:rsidR="000F2D25" w:rsidRDefault="00D5453B">
      <w:pPr>
        <w:spacing w:after="100"/>
      </w:pPr>
      <w:r>
        <w:rPr>
          <w:i/>
          <w:iCs/>
          <w:sz w:val="18"/>
          <w:szCs w:val="18"/>
        </w:rPr>
        <w:t>Vorsicht: Diesen Punkt früh und schriftlich klären. Nachträgliche Beteuerungen wirken nicht.</w:t>
      </w:r>
    </w:p>
    <w:p w14:paraId="1AE06826" w14:textId="742B5BA1" w:rsidR="000F2D25" w:rsidRDefault="00D5453B">
      <w:pPr>
        <w:spacing w:before="220" w:after="50"/>
      </w:pPr>
      <w:r>
        <w:rPr>
          <w:b/>
          <w:bCs/>
          <w:color w:val="0D1B2A"/>
        </w:rPr>
        <w:t>7.</w:t>
      </w:r>
      <w:r>
        <w:rPr>
          <w:b/>
          <w:bCs/>
          <w:color w:val="0D1B2A"/>
        </w:rPr>
        <w:t xml:space="preserve"> «Das ist doch nur eine zusätzliche Verwaltungsstelle.»</w:t>
      </w:r>
    </w:p>
    <w:p w14:paraId="2E0841AA" w14:textId="77777777" w:rsidR="000F2D25" w:rsidRDefault="00D5453B">
      <w:pPr>
        <w:spacing w:after="80"/>
      </w:pPr>
      <w:r>
        <w:rPr>
          <w:i/>
          <w:iCs/>
          <w:sz w:val="18"/>
          <w:szCs w:val="18"/>
        </w:rPr>
        <w:t>Was dahintersteckt: Grundsätzliche Skepsis gegenüber Stellenwachstum, oft unabhängig vom konkreten Thema.</w:t>
      </w:r>
    </w:p>
    <w:p w14:paraId="0DCBD1A8" w14:textId="77777777" w:rsidR="000F2D25" w:rsidRDefault="00D5453B">
      <w:pPr>
        <w:spacing w:after="120"/>
      </w:pPr>
      <w:r>
        <w:t>Die Frage lässt sich umdrehen: Welche Arbeit fällt heute schon an, und wer macht sie? In den meisten Gemeinden ist die Antwort, dass sie verteilt und unsichtbar bei mehreren Personen liegt, meist ohne Fachkenntnis und ohne Zeitbudget. Koordination bündelt diese Arbeit, statt sie zu vermehren. Was die Stelle nicht übernimmt, gehört ebenso schriftlich festgehalten.</w:t>
      </w:r>
    </w:p>
    <w:p w14:paraId="5F36C4AA" w14:textId="3E671863" w:rsidR="000F2D25" w:rsidRDefault="00D5453B">
      <w:pPr>
        <w:spacing w:before="220" w:after="50"/>
      </w:pPr>
      <w:r>
        <w:rPr>
          <w:b/>
          <w:bCs/>
          <w:color w:val="0D1B2A"/>
        </w:rPr>
        <w:t xml:space="preserve">8. </w:t>
      </w:r>
      <w:r>
        <w:rPr>
          <w:b/>
          <w:bCs/>
          <w:color w:val="0D1B2A"/>
        </w:rPr>
        <w:t>«Der Nutzen lässt sich ohnehin nicht messen.»</w:t>
      </w:r>
    </w:p>
    <w:p w14:paraId="53239528" w14:textId="77777777" w:rsidR="000F2D25" w:rsidRDefault="00D5453B">
      <w:pPr>
        <w:spacing w:after="80"/>
      </w:pPr>
      <w:r>
        <w:rPr>
          <w:i/>
          <w:iCs/>
          <w:sz w:val="18"/>
          <w:szCs w:val="18"/>
        </w:rPr>
        <w:t>Was dahintersteckt: Ein berechtigter Einwand, der oft aus Erfahrung mit Konzepten stammt, die nie überprüft wurden.</w:t>
      </w:r>
    </w:p>
    <w:p w14:paraId="171E12D9" w14:textId="1A5AE918" w:rsidR="000F2D25" w:rsidRDefault="00D5453B">
      <w:pPr>
        <w:spacing w:after="120"/>
      </w:pPr>
      <w:r>
        <w:t>Vollständig messbar ist er nicht, und das sollte man auch nicht behaupten. Überprüfbar ist er trotzdem: Anzahl begleiteter Projekte, Auslastung der Anlagen, Teilnahmequote der Vereine an Austauschgefässen, Höhe eingeworbener Drittmittel, Zufriedenheit der Vereine. Der Vorschlag: von Anfang an ein knappes Set an Kennzahlen festlegen und jährlich berichten.</w:t>
      </w:r>
      <w:r w:rsidR="005B63E0">
        <w:t xml:space="preserve"> Eine aktive Kommunikation nach Aussen erhöht die Aufmerksamkeit und Erkenntnis des Nutzens (Webseite, LinkedIn, Print, Soziale Medien usw.)</w:t>
      </w:r>
    </w:p>
    <w:p w14:paraId="77C5D736" w14:textId="141F7332" w:rsidR="000F2D25" w:rsidRDefault="00D5453B">
      <w:pPr>
        <w:spacing w:before="220" w:after="50"/>
      </w:pPr>
      <w:r>
        <w:rPr>
          <w:b/>
          <w:bCs/>
          <w:color w:val="0D1B2A"/>
        </w:rPr>
        <w:t xml:space="preserve">9. </w:t>
      </w:r>
      <w:r>
        <w:rPr>
          <w:b/>
          <w:bCs/>
          <w:color w:val="0D1B2A"/>
        </w:rPr>
        <w:t>«Bei uns läuft es doch, wir haben kein Problem.»</w:t>
      </w:r>
    </w:p>
    <w:p w14:paraId="7BDE1E49" w14:textId="77777777" w:rsidR="000F2D25" w:rsidRDefault="00D5453B">
      <w:pPr>
        <w:spacing w:after="80"/>
      </w:pPr>
      <w:r>
        <w:rPr>
          <w:i/>
          <w:iCs/>
          <w:sz w:val="18"/>
          <w:szCs w:val="18"/>
        </w:rPr>
        <w:t>Was dahintersteckt: Häufig zutreffend für den Moment. Der Einwand blendet Entwicklungen aus, die erst in einigen Jahren wirken.</w:t>
      </w:r>
    </w:p>
    <w:p w14:paraId="133CD779" w14:textId="77777777" w:rsidR="000F2D25" w:rsidRDefault="00D5453B">
      <w:pPr>
        <w:spacing w:after="120"/>
      </w:pPr>
      <w:r>
        <w:t>Das ist ein guter Ausgangspunkt, denn Koordination aufzubauen ist einfacher, wenn kein Notfall herrscht. Die typischen Themen kommen ohnehin: Sanierungsbedarf bei Anlagen aus den Siebziger- und Achtzigerjahren, Rückgang bei den Freiwilligen, veränderte Sportgewohnheiten. Wer erst reagiert, wenn die Halle geschlossen ist, entscheidet unter Druck.</w:t>
      </w:r>
    </w:p>
    <w:p w14:paraId="202307AA" w14:textId="77777777" w:rsidR="000F2D25" w:rsidRDefault="00D5453B">
      <w:pPr>
        <w:spacing w:after="100"/>
      </w:pPr>
      <w:r>
        <w:rPr>
          <w:i/>
          <w:iCs/>
          <w:sz w:val="18"/>
          <w:szCs w:val="18"/>
        </w:rPr>
        <w:t>Vorsicht: Nicht dramatisieren. Wer eine Krise herbeiredet, die niemand spürt, verliert an Glaubwürdigkeit.</w:t>
      </w:r>
    </w:p>
    <w:p w14:paraId="7AE9BBE7" w14:textId="2CACF95D" w:rsidR="000F2D25" w:rsidRDefault="00D5453B">
      <w:pPr>
        <w:spacing w:before="220" w:after="50"/>
      </w:pPr>
      <w:r>
        <w:rPr>
          <w:b/>
          <w:bCs/>
          <w:color w:val="0D1B2A"/>
        </w:rPr>
        <w:t xml:space="preserve">10. </w:t>
      </w:r>
      <w:r>
        <w:rPr>
          <w:b/>
          <w:bCs/>
          <w:color w:val="0D1B2A"/>
        </w:rPr>
        <w:t>«Das kann die Schulleitung oder der Werkdienst nebenbei machen.»</w:t>
      </w:r>
    </w:p>
    <w:p w14:paraId="73DA8121" w14:textId="77777777" w:rsidR="000F2D25" w:rsidRDefault="00D5453B">
      <w:pPr>
        <w:spacing w:after="80"/>
      </w:pPr>
      <w:r>
        <w:rPr>
          <w:i/>
          <w:iCs/>
          <w:sz w:val="18"/>
          <w:szCs w:val="18"/>
        </w:rPr>
        <w:t>Was dahintersteckt: Der Versuch, die Aufgabe kostenneutral unterzubringen. Oft gut gemeint.</w:t>
      </w:r>
    </w:p>
    <w:p w14:paraId="2098C4B4" w14:textId="77777777" w:rsidR="000F2D25" w:rsidRDefault="00D5453B">
      <w:pPr>
        <w:spacing w:after="120"/>
      </w:pPr>
      <w:r>
        <w:t>Nebenbei heisst in der Praxis: zuerst das Tagesgeschäft, dann der Rest. Netzwerkarbeit, Kommunikation und Projektbegleitung brauchen Kontinuität, sonst entsteht keine Wirkung. Ohne festen Zeitanteil wird Koordination zum Hobby einer engagierten Person und endet, wenn diese Person geht.</w:t>
      </w:r>
    </w:p>
    <w:p w14:paraId="1FBEEEA8" w14:textId="02E72EBE" w:rsidR="000F2D25" w:rsidRDefault="00D5453B">
      <w:pPr>
        <w:spacing w:before="220" w:after="50"/>
      </w:pPr>
      <w:r>
        <w:rPr>
          <w:b/>
          <w:bCs/>
          <w:color w:val="0D1B2A"/>
        </w:rPr>
        <w:t xml:space="preserve">11. </w:t>
      </w:r>
      <w:r>
        <w:rPr>
          <w:b/>
          <w:bCs/>
          <w:color w:val="0D1B2A"/>
        </w:rPr>
        <w:t>«Zuerst brauchen wir die neue Halle, danach reden wir über Koordination.»</w:t>
      </w:r>
    </w:p>
    <w:p w14:paraId="7AD65E85" w14:textId="77777777" w:rsidR="000F2D25" w:rsidRDefault="00D5453B">
      <w:pPr>
        <w:spacing w:after="80"/>
      </w:pPr>
      <w:r>
        <w:rPr>
          <w:i/>
          <w:iCs/>
          <w:sz w:val="18"/>
          <w:szCs w:val="18"/>
        </w:rPr>
        <w:t>Was dahintersteckt: Priorisierung von Sichtbarem vor Strukturellem, oft politisch nachvollziehbar.</w:t>
      </w:r>
    </w:p>
    <w:p w14:paraId="0CF51D10" w14:textId="77777777" w:rsidR="000F2D25" w:rsidRDefault="00D5453B">
      <w:pPr>
        <w:spacing w:after="120"/>
      </w:pPr>
      <w:r>
        <w:t>Die Reihenfolge lässt sich auch umkehren. Wer eine Halle für mehrere Millionen baut, sollte vorher wissen, welcher Bedarf tatsächlich besteht, wie die bestehenden Anlagen ausgelastet sind und ob eine Nachbargemeinde ähnliche Pläne hat. Genau das sind Aufgaben der Koordination. Sie ist keine Alternative zum Bau, sondern die Vorarbeit dazu.</w:t>
      </w:r>
    </w:p>
    <w:p w14:paraId="3268B552" w14:textId="2CF22016" w:rsidR="000F2D25" w:rsidRDefault="00D5453B">
      <w:pPr>
        <w:spacing w:before="220" w:after="50"/>
      </w:pPr>
      <w:r>
        <w:rPr>
          <w:b/>
          <w:bCs/>
          <w:color w:val="0D1B2A"/>
        </w:rPr>
        <w:t xml:space="preserve">12. </w:t>
      </w:r>
      <w:r>
        <w:rPr>
          <w:b/>
          <w:bCs/>
          <w:color w:val="0D1B2A"/>
        </w:rPr>
        <w:t xml:space="preserve">«Die </w:t>
      </w:r>
      <w:r w:rsidR="005B63E0">
        <w:rPr>
          <w:b/>
          <w:bCs/>
          <w:color w:val="0D1B2A"/>
        </w:rPr>
        <w:t>Entscheidungstragenden</w:t>
      </w:r>
      <w:r>
        <w:rPr>
          <w:b/>
          <w:bCs/>
          <w:color w:val="0D1B2A"/>
        </w:rPr>
        <w:t xml:space="preserve"> ziehen sowieso nicht mit.»</w:t>
      </w:r>
    </w:p>
    <w:p w14:paraId="7600E1B4" w14:textId="77777777" w:rsidR="000F2D25" w:rsidRDefault="00D5453B">
      <w:pPr>
        <w:spacing w:after="80"/>
      </w:pPr>
      <w:r>
        <w:rPr>
          <w:i/>
          <w:iCs/>
          <w:sz w:val="18"/>
          <w:szCs w:val="18"/>
        </w:rPr>
        <w:t>Was dahintersteckt: Erfahrung aus gescheiterten Kooperationen, manchmal auch Vorwand.</w:t>
      </w:r>
    </w:p>
    <w:p w14:paraId="1ADFAB35" w14:textId="7C75F409" w:rsidR="000F2D25" w:rsidRDefault="00D5453B">
      <w:pPr>
        <w:spacing w:after="120"/>
      </w:pPr>
      <w:r>
        <w:t xml:space="preserve">Das lässt sich klären, bevor Ressourcen fliessen. Ein kurzes Gespräch mit den zuständigen Personen </w:t>
      </w:r>
      <w:r>
        <w:t>zeigt rasch, ob Interesse besteht</w:t>
      </w:r>
      <w:r w:rsidR="005B63E0">
        <w:t xml:space="preserve"> und welche Vorbehalte vorhanden sind</w:t>
      </w:r>
      <w:r>
        <w:t xml:space="preserve">. </w:t>
      </w:r>
      <w:r w:rsidR="005B63E0">
        <w:t>Häufig braucht es Bedenkzeit und konkrete Problemfälle im Alltag – gut Ding will Weile haben.</w:t>
      </w:r>
    </w:p>
    <w:p w14:paraId="11B7CAA0" w14:textId="77777777" w:rsidR="000F2D25" w:rsidRDefault="00D5453B">
      <w:pPr>
        <w:pBdr>
          <w:bottom w:val="single" w:sz="8" w:space="0" w:color="3FE0B8"/>
        </w:pBdr>
        <w:spacing w:before="320" w:after="120"/>
      </w:pPr>
      <w:r>
        <w:rPr>
          <w:b/>
          <w:bCs/>
          <w:color w:val="0D1B2A"/>
          <w:sz w:val="22"/>
          <w:szCs w:val="22"/>
        </w:rPr>
        <w:t>Drei Grundregeln für solche Gespräche</w:t>
      </w:r>
    </w:p>
    <w:p w14:paraId="52E522B5" w14:textId="77777777" w:rsidR="000F2D25" w:rsidRDefault="00D5453B">
      <w:pPr>
        <w:spacing w:after="40"/>
        <w:ind w:left="340" w:hanging="200"/>
      </w:pPr>
      <w:r>
        <w:t>·   Den Einwand zuerst gelten lassen. Wer sofort widerspricht, bekommt Widerstand statt Zuhören.</w:t>
      </w:r>
    </w:p>
    <w:p w14:paraId="3B7157A4" w14:textId="77777777" w:rsidR="000F2D25" w:rsidRDefault="00D5453B">
      <w:pPr>
        <w:spacing w:after="40"/>
        <w:ind w:left="340" w:hanging="200"/>
      </w:pPr>
      <w:r>
        <w:t>·   In der Sprache des Gegenübers argumentieren: Kosten, Entscheidungsfähigkeit, Verlässlichkeit – nicht Bewegungsförderung im Allgemeinen.</w:t>
      </w:r>
    </w:p>
    <w:p w14:paraId="063BF8E9" w14:textId="77777777" w:rsidR="000F2D25" w:rsidRDefault="00D5453B">
      <w:pPr>
        <w:spacing w:after="40"/>
        <w:ind w:left="340" w:hanging="200"/>
      </w:pPr>
      <w:r>
        <w:t>·   Eine Zahl mitbringen, aber nur eine, die belegt ist. Eine ungedeckte Zahl kostet mehr, als zehn gute Argumente einbringen.</w:t>
      </w:r>
    </w:p>
    <w:p w14:paraId="45C8BD50" w14:textId="77777777" w:rsidR="000F2D25" w:rsidRDefault="00D5453B">
      <w:pPr>
        <w:pBdr>
          <w:top w:val="single" w:sz="4" w:space="0" w:color="D5DAE0"/>
        </w:pBdr>
        <w:spacing w:before="300" w:after="60"/>
      </w:pPr>
      <w:r>
        <w:rPr>
          <w:i/>
          <w:iCs/>
          <w:color w:val="6B7683"/>
          <w:sz w:val="15"/>
          <w:szCs w:val="15"/>
        </w:rPr>
        <w:t>Die Antworten sind Diskussionsvorschläge und keine allgemeingültigen Aussagen. Rechtliche und finanzielle Verhältnisse unterscheiden sich je nach Kanton und Gemeinde und sind im Einzelfall zu prüfen. Anwendung in eigener Verantwortung.</w:t>
      </w:r>
    </w:p>
    <w:sectPr w:rsidR="000F2D25">
      <w:headerReference w:type="default" r:id="rId7"/>
      <w:footerReference w:type="default" r:id="rId8"/>
      <w:pgSz w:w="11906" w:h="16838"/>
      <w:pgMar w:top="1000" w:right="1100" w:bottom="900" w:left="1100" w:header="708" w:footer="708"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941CB39" w14:textId="77777777" w:rsidR="00D5453B" w:rsidRDefault="00D5453B">
      <w:r>
        <w:separator/>
      </w:r>
    </w:p>
  </w:endnote>
  <w:endnote w:type="continuationSeparator" w:id="0">
    <w:p w14:paraId="1CFE4FBF" w14:textId="77777777" w:rsidR="00D5453B" w:rsidRDefault="00D5453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1F24C39" w14:textId="77777777" w:rsidR="000F2D25" w:rsidRDefault="00D5453B">
    <w:pPr>
      <w:pBdr>
        <w:top w:val="single" w:sz="4" w:space="0" w:color="D5DAE0"/>
      </w:pBdr>
      <w:tabs>
        <w:tab w:val="right" w:pos="9026"/>
      </w:tabs>
    </w:pPr>
    <w:r>
      <w:rPr>
        <w:color w:val="6B7683"/>
        <w:sz w:val="14"/>
        <w:szCs w:val="14"/>
      </w:rPr>
      <w:t>© 2026 Sven Brun · studio13nord.ch · Version 1.0 / September 2026</w:t>
    </w:r>
    <w:r>
      <w:rPr>
        <w:sz w:val="14"/>
        <w:szCs w:val="14"/>
      </w:rPr>
      <w:tab/>
    </w:r>
    <w:r>
      <w:rPr>
        <w:color w:val="6B7683"/>
        <w:sz w:val="14"/>
        <w:szCs w:val="14"/>
      </w:rPr>
      <w:t xml:space="preserve">Seite </w:t>
    </w:r>
    <w:r>
      <w:rPr>
        <w:color w:val="6B7683"/>
        <w:sz w:val="14"/>
        <w:szCs w:val="14"/>
      </w:rPr>
      <w:fldChar w:fldCharType="begin"/>
    </w:r>
    <w:r>
      <w:rPr>
        <w:color w:val="6B7683"/>
        <w:sz w:val="14"/>
        <w:szCs w:val="14"/>
      </w:rPr>
      <w:instrText>PAGE</w:instrText>
    </w:r>
    <w:r>
      <w:rPr>
        <w:color w:val="6B7683"/>
        <w:sz w:val="14"/>
        <w:szCs w:val="14"/>
      </w:rPr>
      <w:fldChar w:fldCharType="separate"/>
    </w:r>
    <w:r w:rsidR="005B63E0">
      <w:rPr>
        <w:noProof/>
        <w:color w:val="6B7683"/>
        <w:sz w:val="14"/>
        <w:szCs w:val="14"/>
      </w:rPr>
      <w:t>1</w:t>
    </w:r>
    <w:r>
      <w:rPr>
        <w:color w:val="6B7683"/>
        <w:sz w:val="14"/>
        <w:szCs w:val="14"/>
      </w:rPr>
      <w:fldChar w:fldCharType="end"/>
    </w:r>
    <w:r>
      <w:rPr>
        <w:color w:val="6B7683"/>
        <w:sz w:val="14"/>
        <w:szCs w:val="14"/>
      </w:rPr>
      <w:t xml:space="preserve"> von </w:t>
    </w:r>
    <w:r>
      <w:rPr>
        <w:color w:val="6B7683"/>
        <w:sz w:val="14"/>
        <w:szCs w:val="14"/>
      </w:rPr>
      <w:fldChar w:fldCharType="begin"/>
    </w:r>
    <w:r>
      <w:rPr>
        <w:color w:val="6B7683"/>
        <w:sz w:val="14"/>
        <w:szCs w:val="14"/>
      </w:rPr>
      <w:instrText>NUMPAGES</w:instrText>
    </w:r>
    <w:r>
      <w:rPr>
        <w:color w:val="6B7683"/>
        <w:sz w:val="14"/>
        <w:szCs w:val="14"/>
      </w:rPr>
      <w:fldChar w:fldCharType="separate"/>
    </w:r>
    <w:r w:rsidR="005B63E0">
      <w:rPr>
        <w:noProof/>
        <w:color w:val="6B7683"/>
        <w:sz w:val="14"/>
        <w:szCs w:val="14"/>
      </w:rPr>
      <w:t>2</w:t>
    </w:r>
    <w:r>
      <w:rPr>
        <w:color w:val="6B7683"/>
        <w:sz w:val="14"/>
        <w:szCs w:val="14"/>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92A4B5D" w14:textId="77777777" w:rsidR="00D5453B" w:rsidRDefault="00D5453B">
      <w:r>
        <w:separator/>
      </w:r>
    </w:p>
  </w:footnote>
  <w:footnote w:type="continuationSeparator" w:id="0">
    <w:p w14:paraId="6CC2C562" w14:textId="77777777" w:rsidR="00D5453B" w:rsidRDefault="00D5453B">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F7ECB23" w14:textId="77777777" w:rsidR="000F2D25" w:rsidRDefault="00D5453B">
    <w:pPr>
      <w:jc w:val="right"/>
    </w:pPr>
    <w:r>
      <w:rPr>
        <w:noProof/>
      </w:rPr>
      <w:drawing>
        <wp:inline distT="0" distB="0" distL="0" distR="0" wp14:anchorId="36260429" wp14:editId="6B7A5E5A">
          <wp:extent cx="438150" cy="447675"/>
          <wp:effectExtent l="0" t="0" r="0" b="0"/>
          <wp:docPr id="1" name="Grafik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1"/>
                  <a:srcRect/>
                  <a:stretch>
                    <a:fillRect/>
                  </a:stretch>
                </pic:blipFill>
                <pic:spPr bwMode="auto">
                  <a:xfrm>
                    <a:off x="0" y="0"/>
                    <a:ext cx="438150" cy="447675"/>
                  </a:xfrm>
                  <a:prstGeom prst="rect">
                    <a:avLst/>
                  </a:prstGeom>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61E54CC6"/>
    <w:multiLevelType w:val="hybridMultilevel"/>
    <w:tmpl w:val="98D81996"/>
    <w:lvl w:ilvl="0" w:tplc="E16A5BDE">
      <w:start w:val="1"/>
      <w:numFmt w:val="bullet"/>
      <w:lvlText w:val="●"/>
      <w:lvlJc w:val="left"/>
      <w:pPr>
        <w:ind w:left="720" w:hanging="360"/>
      </w:pPr>
    </w:lvl>
    <w:lvl w:ilvl="1" w:tplc="DC16B39A">
      <w:start w:val="1"/>
      <w:numFmt w:val="bullet"/>
      <w:lvlText w:val="○"/>
      <w:lvlJc w:val="left"/>
      <w:pPr>
        <w:ind w:left="1440" w:hanging="360"/>
      </w:pPr>
    </w:lvl>
    <w:lvl w:ilvl="2" w:tplc="B3961E80">
      <w:start w:val="1"/>
      <w:numFmt w:val="bullet"/>
      <w:lvlText w:val="■"/>
      <w:lvlJc w:val="left"/>
      <w:pPr>
        <w:ind w:left="2160" w:hanging="360"/>
      </w:pPr>
    </w:lvl>
    <w:lvl w:ilvl="3" w:tplc="631222EC">
      <w:start w:val="1"/>
      <w:numFmt w:val="bullet"/>
      <w:lvlText w:val="●"/>
      <w:lvlJc w:val="left"/>
      <w:pPr>
        <w:ind w:left="2880" w:hanging="360"/>
      </w:pPr>
    </w:lvl>
    <w:lvl w:ilvl="4" w:tplc="3D00A6DA">
      <w:start w:val="1"/>
      <w:numFmt w:val="bullet"/>
      <w:lvlText w:val="○"/>
      <w:lvlJc w:val="left"/>
      <w:pPr>
        <w:ind w:left="3600" w:hanging="360"/>
      </w:pPr>
    </w:lvl>
    <w:lvl w:ilvl="5" w:tplc="7B1C3CF8">
      <w:start w:val="1"/>
      <w:numFmt w:val="bullet"/>
      <w:lvlText w:val="■"/>
      <w:lvlJc w:val="left"/>
      <w:pPr>
        <w:ind w:left="4320" w:hanging="360"/>
      </w:pPr>
    </w:lvl>
    <w:lvl w:ilvl="6" w:tplc="758E4482">
      <w:start w:val="1"/>
      <w:numFmt w:val="bullet"/>
      <w:lvlText w:val="●"/>
      <w:lvlJc w:val="left"/>
      <w:pPr>
        <w:ind w:left="5040" w:hanging="360"/>
      </w:pPr>
    </w:lvl>
    <w:lvl w:ilvl="7" w:tplc="ADE83DA2">
      <w:start w:val="1"/>
      <w:numFmt w:val="bullet"/>
      <w:lvlText w:val="●"/>
      <w:lvlJc w:val="left"/>
      <w:pPr>
        <w:ind w:left="5760" w:hanging="360"/>
      </w:pPr>
    </w:lvl>
    <w:lvl w:ilvl="8" w:tplc="CA7A5D74">
      <w:start w:val="1"/>
      <w:numFmt w:val="bullet"/>
      <w:lvlText w:val="●"/>
      <w:lvlJc w:val="left"/>
      <w:pPr>
        <w:ind w:left="6480" w:hanging="360"/>
      </w:pPr>
    </w:lvl>
  </w:abstractNum>
  <w:num w:numId="1" w16cid:durableId="790173055">
    <w:abstractNumId w:val="0"/>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displayBackgroundShape/>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F2D25"/>
    <w:rsid w:val="000F2D25"/>
    <w:rsid w:val="002B0381"/>
    <w:rsid w:val="005B63E0"/>
    <w:rsid w:val="00D5453B"/>
  </w:rsids>
  <m:mathPr>
    <m:mathFont m:val="Cambria Math"/>
    <m:brkBin m:val="before"/>
    <m:brkBinSub m:val="--"/>
    <m:smallFrac m:val="0"/>
    <m:dispDef/>
    <m:lMargin m:val="0"/>
    <m:rMargin m:val="0"/>
    <m:defJc m:val="centerGroup"/>
    <m:wrapIndent m:val="1440"/>
    <m:intLim m:val="subSup"/>
    <m:naryLim m:val="undOvr"/>
  </m:mathPr>
  <w:themeFontLang w:val="de-CH"/>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B20EC60"/>
  <w15:docId w15:val="{C90DCEBE-C71C-4F29-B978-665C28B6145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Arial" w:hAnsi="Arial" w:cs="Arial"/>
        <w:color w:val="1B2733"/>
        <w:sz w:val="19"/>
        <w:szCs w:val="19"/>
        <w:lang w:val="de-CH" w:eastAsia="de-CH"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style>
  <w:style w:type="paragraph" w:styleId="berschrift1">
    <w:name w:val="heading 1"/>
    <w:uiPriority w:val="9"/>
    <w:qFormat/>
    <w:pPr>
      <w:outlineLvl w:val="0"/>
    </w:pPr>
    <w:rPr>
      <w:color w:val="2E74B5"/>
      <w:sz w:val="32"/>
      <w:szCs w:val="32"/>
    </w:rPr>
  </w:style>
  <w:style w:type="paragraph" w:styleId="berschrift2">
    <w:name w:val="heading 2"/>
    <w:uiPriority w:val="9"/>
    <w:semiHidden/>
    <w:unhideWhenUsed/>
    <w:qFormat/>
    <w:pPr>
      <w:outlineLvl w:val="1"/>
    </w:pPr>
    <w:rPr>
      <w:color w:val="2E74B5"/>
      <w:sz w:val="26"/>
      <w:szCs w:val="26"/>
    </w:rPr>
  </w:style>
  <w:style w:type="paragraph" w:styleId="berschrift3">
    <w:name w:val="heading 3"/>
    <w:uiPriority w:val="9"/>
    <w:semiHidden/>
    <w:unhideWhenUsed/>
    <w:qFormat/>
    <w:pPr>
      <w:outlineLvl w:val="2"/>
    </w:pPr>
    <w:rPr>
      <w:color w:val="1F4D78"/>
      <w:sz w:val="24"/>
      <w:szCs w:val="24"/>
    </w:rPr>
  </w:style>
  <w:style w:type="paragraph" w:styleId="berschrift4">
    <w:name w:val="heading 4"/>
    <w:uiPriority w:val="9"/>
    <w:semiHidden/>
    <w:unhideWhenUsed/>
    <w:qFormat/>
    <w:pPr>
      <w:outlineLvl w:val="3"/>
    </w:pPr>
    <w:rPr>
      <w:i/>
      <w:iCs/>
      <w:color w:val="2E74B5"/>
    </w:rPr>
  </w:style>
  <w:style w:type="paragraph" w:styleId="berschrift5">
    <w:name w:val="heading 5"/>
    <w:uiPriority w:val="9"/>
    <w:semiHidden/>
    <w:unhideWhenUsed/>
    <w:qFormat/>
    <w:pPr>
      <w:outlineLvl w:val="4"/>
    </w:pPr>
    <w:rPr>
      <w:color w:val="2E74B5"/>
    </w:rPr>
  </w:style>
  <w:style w:type="paragraph" w:styleId="berschrift6">
    <w:name w:val="heading 6"/>
    <w:uiPriority w:val="9"/>
    <w:semiHidden/>
    <w:unhideWhenUsed/>
    <w:qFormat/>
    <w:pPr>
      <w:outlineLvl w:val="5"/>
    </w:pPr>
    <w:rPr>
      <w:color w:val="1F4D78"/>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Titel">
    <w:name w:val="Title"/>
    <w:uiPriority w:val="10"/>
    <w:qFormat/>
    <w:rPr>
      <w:sz w:val="56"/>
      <w:szCs w:val="56"/>
    </w:rPr>
  </w:style>
  <w:style w:type="paragraph" w:customStyle="1" w:styleId="Fett1">
    <w:name w:val="Fett1"/>
    <w:qFormat/>
    <w:rPr>
      <w:b/>
      <w:bCs/>
    </w:rPr>
  </w:style>
  <w:style w:type="paragraph" w:styleId="Listenabsatz">
    <w:name w:val="List Paragraph"/>
    <w:qFormat/>
  </w:style>
  <w:style w:type="character" w:styleId="Hyperlink">
    <w:name w:val="Hyperlink"/>
    <w:uiPriority w:val="99"/>
    <w:unhideWhenUsed/>
    <w:rPr>
      <w:color w:val="0563C1"/>
      <w:u w:val="single"/>
    </w:rPr>
  </w:style>
  <w:style w:type="character" w:styleId="Funotenzeichen">
    <w:name w:val="footnote reference"/>
    <w:uiPriority w:val="99"/>
    <w:semiHidden/>
    <w:unhideWhenUsed/>
    <w:rPr>
      <w:vertAlign w:val="superscript"/>
    </w:rPr>
  </w:style>
  <w:style w:type="paragraph" w:styleId="Funotentext">
    <w:name w:val="footnote text"/>
    <w:link w:val="FunotentextZchn"/>
    <w:uiPriority w:val="99"/>
    <w:semiHidden/>
    <w:unhideWhenUsed/>
    <w:rPr>
      <w:sz w:val="20"/>
      <w:szCs w:val="20"/>
    </w:rPr>
  </w:style>
  <w:style w:type="character" w:customStyle="1" w:styleId="FunotentextZchn">
    <w:name w:val="Fußnotentext Zchn"/>
    <w:link w:val="Funotentext"/>
    <w:uiPriority w:val="99"/>
    <w:semiHidden/>
    <w:unhideWhenUsed/>
    <w:rPr>
      <w:sz w:val="20"/>
      <w:szCs w:val="20"/>
    </w:rPr>
  </w:style>
  <w:style w:type="character" w:styleId="Endnotenzeichen">
    <w:name w:val="endnote reference"/>
    <w:uiPriority w:val="99"/>
    <w:semiHidden/>
    <w:unhideWhenUsed/>
    <w:rPr>
      <w:vertAlign w:val="superscript"/>
    </w:rPr>
  </w:style>
  <w:style w:type="paragraph" w:styleId="Endnotentext">
    <w:name w:val="endnote text"/>
    <w:link w:val="EndnotentextZchn"/>
    <w:uiPriority w:val="99"/>
    <w:semiHidden/>
    <w:unhideWhenUsed/>
    <w:rPr>
      <w:sz w:val="20"/>
      <w:szCs w:val="20"/>
    </w:rPr>
  </w:style>
  <w:style w:type="character" w:customStyle="1" w:styleId="EndnotentextZchn">
    <w:name w:val="Endnotentext Zchn"/>
    <w:link w:val="Endnotentext"/>
    <w:uiPriority w:val="99"/>
    <w:semiHidden/>
    <w:unhideWhenUsed/>
    <w:rPr>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0</TotalTime>
  <Pages>2</Pages>
  <Words>1094</Words>
  <Characters>7083</Characters>
  <Application>Microsoft Office Word</Application>
  <DocSecurity>0</DocSecurity>
  <Lines>99</Lines>
  <Paragraphs>63</Paragraphs>
  <ScaleCrop>false</ScaleCrop>
  <Company/>
  <LinksUpToDate>false</LinksUpToDate>
  <CharactersWithSpaces>8114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Un-named</dc:creator>
  <cp:lastModifiedBy>Sven Brun</cp:lastModifiedBy>
  <cp:revision>2</cp:revision>
  <dcterms:created xsi:type="dcterms:W3CDTF">2026-09-17T13:51:00Z</dcterms:created>
  <dcterms:modified xsi:type="dcterms:W3CDTF">2026-09-17T13:51:00Z</dcterms:modified>
</cp:coreProperties>
</file>